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A52" w:rsidRPr="00775EB7" w:rsidRDefault="00497A52" w:rsidP="00497A52">
      <w:pPr>
        <w:jc w:val="center"/>
        <w:rPr>
          <w:rFonts w:ascii="Garamond" w:hAnsi="Garamond"/>
          <w:b/>
          <w:sz w:val="22"/>
          <w:szCs w:val="22"/>
        </w:rPr>
      </w:pPr>
      <w:r w:rsidRPr="00775EB7">
        <w:rPr>
          <w:rFonts w:ascii="Garamond" w:hAnsi="Garamond"/>
          <w:b/>
          <w:sz w:val="22"/>
          <w:szCs w:val="22"/>
        </w:rPr>
        <w:t>Tantárgyi program</w:t>
      </w:r>
    </w:p>
    <w:p w:rsidR="00497A52" w:rsidRPr="00775EB7" w:rsidRDefault="00497A52" w:rsidP="00497A52">
      <w:pPr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17"/>
        <w:gridCol w:w="5039"/>
      </w:tblGrid>
      <w:tr w:rsidR="00497A52" w:rsidRPr="00775EB7" w:rsidTr="00DE5211">
        <w:tc>
          <w:tcPr>
            <w:tcW w:w="4077" w:type="dxa"/>
            <w:vMerge w:val="restart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 neve: 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>Egészségügyi jog szakszeminárium</w:t>
            </w:r>
          </w:p>
        </w:tc>
        <w:tc>
          <w:tcPr>
            <w:tcW w:w="5135" w:type="dxa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Neptun kódja: </w:t>
            </w:r>
            <w:bookmarkStart w:id="0" w:name="OLE_LINK29"/>
            <w:r w:rsidRPr="00775EB7">
              <w:rPr>
                <w:rFonts w:ascii="Garamond" w:hAnsi="Garamond"/>
                <w:sz w:val="22"/>
                <w:szCs w:val="22"/>
              </w:rPr>
              <w:t>DFDIÁJ269N4, DFDIÁJ269L4</w:t>
            </w:r>
            <w:bookmarkEnd w:id="0"/>
          </w:p>
        </w:tc>
      </w:tr>
      <w:tr w:rsidR="00497A52" w:rsidRPr="00775EB7" w:rsidTr="00DE5211">
        <w:tc>
          <w:tcPr>
            <w:tcW w:w="4077" w:type="dxa"/>
            <w:vMerge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5135" w:type="dxa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Tantárgy jellege: kötelezően választandó</w:t>
            </w: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Tantárgyfelelős neve, beosztása: </w:t>
            </w:r>
            <w:r>
              <w:rPr>
                <w:rFonts w:ascii="Garamond" w:hAnsi="Garamond"/>
                <w:sz w:val="22"/>
                <w:szCs w:val="22"/>
              </w:rPr>
              <w:t>Prof. Dr.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Barzó Tímea egyetemi </w:t>
            </w:r>
            <w:r>
              <w:rPr>
                <w:rFonts w:ascii="Garamond" w:hAnsi="Garamond"/>
                <w:sz w:val="22"/>
                <w:szCs w:val="22"/>
              </w:rPr>
              <w:t>tanár</w:t>
            </w: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Oktatásba bevont oktatók neve, beosztása: </w:t>
            </w:r>
          </w:p>
        </w:tc>
      </w:tr>
      <w:tr w:rsidR="00497A52" w:rsidRPr="00775EB7" w:rsidTr="00DE5211">
        <w:tc>
          <w:tcPr>
            <w:tcW w:w="4077" w:type="dxa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Félév: páratlan/</w:t>
            </w:r>
            <w:r w:rsidRPr="00775EB7">
              <w:rPr>
                <w:rFonts w:ascii="Garamond" w:hAnsi="Garamond"/>
                <w:sz w:val="22"/>
                <w:szCs w:val="22"/>
                <w:u w:val="single"/>
              </w:rPr>
              <w:t>páros</w:t>
            </w:r>
          </w:p>
        </w:tc>
        <w:tc>
          <w:tcPr>
            <w:tcW w:w="5135" w:type="dxa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Óraszám/félév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 xml:space="preserve">: </w:t>
            </w:r>
            <w:r w:rsidRPr="00775EB7">
              <w:rPr>
                <w:rFonts w:ascii="Garamond" w:hAnsi="Garamond"/>
                <w:sz w:val="22"/>
                <w:szCs w:val="22"/>
              </w:rPr>
              <w:t>15</w:t>
            </w:r>
            <w:r w:rsidRPr="00775EB7">
              <w:rPr>
                <w:rFonts w:ascii="Garamond" w:hAnsi="Garamond"/>
                <w:b/>
                <w:sz w:val="22"/>
                <w:szCs w:val="22"/>
              </w:rPr>
              <w:t xml:space="preserve"> </w:t>
            </w:r>
            <w:r w:rsidRPr="00775EB7">
              <w:rPr>
                <w:rFonts w:ascii="Garamond" w:hAnsi="Garamond"/>
                <w:sz w:val="22"/>
                <w:szCs w:val="22"/>
              </w:rPr>
              <w:t>óra</w:t>
            </w:r>
          </w:p>
        </w:tc>
      </w:tr>
      <w:tr w:rsidR="00497A52" w:rsidRPr="00775EB7" w:rsidTr="00DE5211">
        <w:tc>
          <w:tcPr>
            <w:tcW w:w="4077" w:type="dxa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Kreditérték: 3</w:t>
            </w:r>
          </w:p>
        </w:tc>
        <w:tc>
          <w:tcPr>
            <w:tcW w:w="5135" w:type="dxa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Számonkérés: kollokvium</w:t>
            </w: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 feladata, célja:</w:t>
            </w:r>
          </w:p>
          <w:p w:rsidR="00497A52" w:rsidRPr="00775EB7" w:rsidRDefault="00497A5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bookmarkStart w:id="1" w:name="OLE_LINK30"/>
            <w:bookmarkStart w:id="2" w:name="OLE_LINK31"/>
            <w:r w:rsidRPr="00775EB7">
              <w:rPr>
                <w:rFonts w:ascii="Garamond" w:eastAsia="Times New Roman" w:hAnsi="Garamond"/>
                <w:sz w:val="22"/>
                <w:szCs w:val="22"/>
              </w:rPr>
              <w:t>Az egészségügyi jog alapjai szakszeminárium átfogó képet ad az egészségügyi ellátórendszer felépítéséről és alapvető intézményeiről. A szakszeminárium tananyaga foglalkozik az egész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softHyphen/>
              <w:t xml:space="preserve">ségügy alkotmányjogi érintettségével, az egészségügyi közszolgáltatás alapvető kérdéseivel. A doktorandusz hallgatók megismerik nemcsak a betegjogok rendszerét, de az adatvédelem és titokvédelem egészségügyi aspektusait is. </w:t>
            </w:r>
            <w:bookmarkEnd w:id="1"/>
            <w:bookmarkEnd w:id="2"/>
            <w:r w:rsidRPr="00775EB7">
              <w:rPr>
                <w:rFonts w:ascii="Garamond" w:eastAsia="Times New Roman" w:hAnsi="Garamond"/>
                <w:sz w:val="22"/>
                <w:szCs w:val="22"/>
              </w:rPr>
              <w:t>Az egészségügyi jog oktatása során hangsúlyt kapnak a felelősségi kérdések, és az egyes különleges egészségügyi eljárások is jogösszehasonlító elemzés formájában</w:t>
            </w: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Tantárgyi tematika (heti bontásban):</w:t>
            </w:r>
          </w:p>
          <w:p w:rsidR="00497A52" w:rsidRPr="00775EB7" w:rsidRDefault="00497A5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3" w:name="OLE_LINK32"/>
            <w:bookmarkStart w:id="4" w:name="OLE_LINK33"/>
            <w:r w:rsidRPr="00775EB7">
              <w:rPr>
                <w:rFonts w:ascii="Garamond" w:hAnsi="Garamond"/>
                <w:bCs/>
                <w:sz w:val="22"/>
                <w:szCs w:val="22"/>
              </w:rPr>
              <w:t>Az egészségügyi jog alkotmányjogi vonatkozásai, összefüggés a betegjogokkal. Az egészségügyi jog jogforrási rendszere.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5" w:name="OLE_LINK34"/>
            <w:bookmarkStart w:id="6" w:name="OLE_LINK35"/>
            <w:bookmarkEnd w:id="3"/>
            <w:bookmarkEnd w:id="4"/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Az egészségügyi ellátórendszer szerkezete. </w:t>
            </w:r>
            <w:bookmarkEnd w:id="5"/>
            <w:bookmarkEnd w:id="6"/>
            <w:r w:rsidRPr="00775EB7">
              <w:rPr>
                <w:rFonts w:ascii="Garamond" w:hAnsi="Garamond"/>
                <w:bCs/>
                <w:sz w:val="22"/>
                <w:szCs w:val="22"/>
              </w:rPr>
              <w:t>Az egészségügyi ellátórendszer: az egészségügyi alapellátás és szakellátás.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7" w:name="OLE_LINK36"/>
            <w:bookmarkStart w:id="8" w:name="OLE_LINK37"/>
            <w:r w:rsidRPr="00775EB7">
              <w:rPr>
                <w:rFonts w:ascii="Garamond" w:hAnsi="Garamond"/>
                <w:bCs/>
                <w:sz w:val="22"/>
                <w:szCs w:val="22"/>
              </w:rPr>
              <w:t>A helyi önkormányzatok szerepe. Az egészségbiztosítási szervek</w:t>
            </w:r>
            <w:bookmarkEnd w:id="7"/>
            <w:bookmarkEnd w:id="8"/>
            <w:r w:rsidRPr="00775EB7">
              <w:rPr>
                <w:rFonts w:ascii="Garamond" w:hAnsi="Garamond"/>
                <w:bCs/>
                <w:sz w:val="22"/>
                <w:szCs w:val="22"/>
              </w:rPr>
              <w:t>, az Állami Népegészségügyi és Tisztiorvosi Szolgálat szervezetrendszere (OTH - népegészségügyi szakigazgatási szervek).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9" w:name="OLE_LINK38"/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A praxisjog sajátosságai. 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10" w:name="OLE_LINK39"/>
            <w:bookmarkStart w:id="11" w:name="OLE_LINK40"/>
            <w:bookmarkEnd w:id="9"/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A praxisváltás </w:t>
            </w:r>
            <w:bookmarkEnd w:id="10"/>
            <w:bookmarkEnd w:id="11"/>
            <w:r w:rsidRPr="00775EB7">
              <w:rPr>
                <w:rFonts w:ascii="Garamond" w:hAnsi="Garamond"/>
                <w:bCs/>
                <w:sz w:val="22"/>
                <w:szCs w:val="22"/>
              </w:rPr>
              <w:t>(a praxisjog átruházása, a praxisjog értéke, a praxisváltással felmerülő legfontosabb jogi kérdések stb.)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12" w:name="OLE_LINK41"/>
            <w:r w:rsidRPr="00775EB7">
              <w:rPr>
                <w:rFonts w:ascii="Garamond" w:hAnsi="Garamond"/>
                <w:bCs/>
                <w:sz w:val="22"/>
                <w:szCs w:val="22"/>
              </w:rPr>
              <w:t>A betegjogok kialakulása, nemzetközi dokumentumai. A betegjogok csoportosítása</w:t>
            </w:r>
            <w:bookmarkEnd w:id="12"/>
            <w:r w:rsidRPr="00775EB7">
              <w:rPr>
                <w:rFonts w:ascii="Garamond" w:hAnsi="Garamond"/>
                <w:bCs/>
                <w:sz w:val="22"/>
                <w:szCs w:val="22"/>
              </w:rPr>
              <w:t>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13" w:name="OLE_LINK42"/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Megfelelő szintű egészségügyi ellátáshoz való jog, az egészségügyi ellátás megtagadása. Az egészségügyi ellátás minőségi követelményei. </w:t>
            </w:r>
            <w:bookmarkEnd w:id="13"/>
            <w:r w:rsidRPr="00775EB7">
              <w:rPr>
                <w:rFonts w:ascii="Garamond" w:hAnsi="Garamond"/>
                <w:bCs/>
                <w:sz w:val="22"/>
                <w:szCs w:val="22"/>
              </w:rPr>
              <w:t>Szabad orvosválasztás. Emberi méltósághoz való jog.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14" w:name="OLE_LINK43"/>
            <w:r w:rsidRPr="00775EB7">
              <w:rPr>
                <w:rFonts w:ascii="Garamond" w:hAnsi="Garamond"/>
                <w:bCs/>
                <w:sz w:val="22"/>
                <w:szCs w:val="22"/>
              </w:rPr>
              <w:t>A kapcsolattartás és az egészségügyi intézmény elhagyásának joga. A tájékoztatási kötelezettség. A beteg önrendelkezési joga. Az egészségügyi ellátás visszautasítása. Az élő végrendelet.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15" w:name="OLE_LINK44"/>
            <w:bookmarkStart w:id="16" w:name="OLE_LINK45"/>
            <w:bookmarkEnd w:id="14"/>
            <w:r w:rsidRPr="00775EB7">
              <w:rPr>
                <w:rFonts w:ascii="Garamond" w:hAnsi="Garamond"/>
                <w:bCs/>
                <w:sz w:val="22"/>
                <w:szCs w:val="22"/>
              </w:rPr>
              <w:t>Az egészségügyi adat, az orvosi titok. Az adatvédelmi, titoktartási kötelezettség alóli mentesülés egyes esetei.</w:t>
            </w:r>
          </w:p>
          <w:bookmarkEnd w:id="15"/>
          <w:bookmarkEnd w:id="16"/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Az egészségügyi dokumentáció megismerésének joga (általános szabályok, az érintett halálát követően, az érintett felhatalmazása alapján stb.).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17" w:name="OLE_LINK46"/>
            <w:bookmarkStart w:id="18" w:name="OLE_LINK47"/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Felelősség az egészségügyben I. </w:t>
            </w:r>
            <w:bookmarkEnd w:id="17"/>
            <w:bookmarkEnd w:id="18"/>
            <w:r w:rsidRPr="00775EB7">
              <w:rPr>
                <w:rFonts w:ascii="Garamond" w:hAnsi="Garamond"/>
                <w:bCs/>
                <w:sz w:val="22"/>
                <w:szCs w:val="22"/>
              </w:rPr>
              <w:t>(Az egészségügyi dolgozók etikai, munkajogi, büntetőjogi felelősségének alapvető jellemzői)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Felelősség az egészségügyben II. (Az egészségügyi szolgáltatók polgári jogi felelősségének alapkérdései, sérelemdíj az egészségügyben stb.). Nemzetközi jogösszehasonlító elemzés. 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bookmarkStart w:id="19" w:name="OLE_LINK48"/>
            <w:bookmarkStart w:id="20" w:name="OLE_LINK49"/>
            <w:r w:rsidRPr="00775EB7">
              <w:rPr>
                <w:rFonts w:ascii="Garamond" w:hAnsi="Garamond"/>
                <w:bCs/>
                <w:sz w:val="22"/>
                <w:szCs w:val="22"/>
              </w:rPr>
              <w:t>Különleges egészségügyi eljárások</w:t>
            </w:r>
            <w:bookmarkEnd w:id="19"/>
            <w:bookmarkEnd w:id="20"/>
            <w:r w:rsidRPr="00775EB7">
              <w:rPr>
                <w:rFonts w:ascii="Garamond" w:hAnsi="Garamond"/>
                <w:bCs/>
                <w:sz w:val="22"/>
                <w:szCs w:val="22"/>
              </w:rPr>
              <w:t xml:space="preserve"> I. A szerv- és szövetátültetések joga. 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bCs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Különleges egészségügyi eljárások II. A humán reprodukciós eljárások.</w:t>
            </w:r>
          </w:p>
          <w:p w:rsidR="00497A52" w:rsidRPr="00775EB7" w:rsidRDefault="00497A52" w:rsidP="00497A52">
            <w:pPr>
              <w:numPr>
                <w:ilvl w:val="0"/>
                <w:numId w:val="1"/>
              </w:numPr>
              <w:ind w:left="284" w:right="113" w:hanging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Cs/>
                <w:sz w:val="22"/>
                <w:szCs w:val="22"/>
              </w:rPr>
              <w:t>Különleges egészségügyi eljárások III. Az emberen végzett kutatások alaptételei és eljárási szabályai.</w:t>
            </w: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Számonkérés módja: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 írásbeli és szóbeli</w:t>
            </w: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Kötelező irodalom</w:t>
            </w:r>
          </w:p>
          <w:p w:rsidR="00497A52" w:rsidRPr="00775EB7" w:rsidRDefault="00497A5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</w:p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1. 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HÍDVÉGINÉ dr. Adorján Lívia - SÁRINÉ dr. Simkó Ágnes: A betegek jogairól 1. Medicina Kiadó Budapest, 2012. 9-173.o</w:t>
            </w:r>
          </w:p>
          <w:p w:rsidR="00497A52" w:rsidRPr="00775EB7" w:rsidRDefault="00497A52" w:rsidP="00DE5211">
            <w:pPr>
              <w:shd w:val="clear" w:color="auto" w:fill="FFFFFF"/>
              <w:tabs>
                <w:tab w:val="left" w:pos="3340"/>
                <w:tab w:val="left" w:pos="6090"/>
              </w:tabs>
              <w:ind w:left="142"/>
              <w:jc w:val="both"/>
              <w:textAlignment w:val="baseline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HÍDVÉGINÉ dr. Adorján Lívia - SÁRINÉ dr. Simkó Ágnes: Műhibák és kártérítési perek az egészségügyben 2. Medicina Kiadó Budapest, 2013. 13.-113. o</w:t>
            </w:r>
          </w:p>
          <w:p w:rsidR="00497A52" w:rsidRPr="00775EB7" w:rsidRDefault="00497A52" w:rsidP="00DE5211">
            <w:pPr>
              <w:shd w:val="clear" w:color="auto" w:fill="FFFFFF"/>
              <w:tabs>
                <w:tab w:val="left" w:pos="3340"/>
                <w:tab w:val="left" w:pos="6090"/>
              </w:tabs>
              <w:ind w:left="142"/>
              <w:jc w:val="both"/>
              <w:textAlignment w:val="baseline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DÓSA Ágnes: Az orvosi kártérítési felelőssége. Második, átdolgozott és bővített kiadás HVG-ORAC Kiadó Budapest, 2010.</w:t>
            </w:r>
          </w:p>
          <w:p w:rsidR="00497A52" w:rsidRPr="00775EB7" w:rsidRDefault="00497A52" w:rsidP="00DE5211">
            <w:pPr>
              <w:pStyle w:val="Default"/>
              <w:rPr>
                <w:rFonts w:ascii="Garamond" w:hAnsi="Garamond"/>
                <w:sz w:val="22"/>
                <w:szCs w:val="22"/>
              </w:rPr>
            </w:pPr>
          </w:p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eastAsia="Times New Roman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lastRenderedPageBreak/>
              <w:t>1</w:t>
            </w:r>
            <w:bookmarkStart w:id="21" w:name="OLE_LINK50"/>
            <w:r w:rsidRPr="00775EB7">
              <w:rPr>
                <w:rFonts w:ascii="Garamond" w:hAnsi="Garamond"/>
                <w:sz w:val="22"/>
                <w:szCs w:val="22"/>
              </w:rPr>
              <w:t xml:space="preserve">. B. A.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Koch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: Medical Liabilty in Europe: Comporative Analysis. In: 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Medical Liability in Europe. A Comparison of Selected Jurisdictions. Bernard A Koch (ed) In: Tort and Insurance Law Vol 29 Boston, De Gruyter 2011. 611-693.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T.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Bajanowski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, W.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Rabl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, T.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 xml:space="preserve">Fracasso: </w:t>
            </w:r>
            <w:r w:rsidRPr="00775EB7">
              <w:rPr>
                <w:rFonts w:ascii="Garamond" w:hAnsi="Garamond"/>
                <w:sz w:val="22"/>
                <w:szCs w:val="22"/>
              </w:rPr>
              <w:t>Medical Responsibility and Liability in German-Speaking Countries: Austria, Germany and Switzerland. In: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 xml:space="preserve"> Malpractice and Medical Liability European State of the Art and Guidelines. Santo Davide Ferrara (ed) Rafael Boscolo-Berto – Guido Viel (Co-ed) Springer – Verlag Berlin Heidelberg 2013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. 111-129. 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A.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Hendriks</w:t>
            </w:r>
            <w:r w:rsidRPr="00775EB7">
              <w:rPr>
                <w:rFonts w:ascii="Garamond" w:hAnsi="Garamond"/>
                <w:sz w:val="22"/>
                <w:szCs w:val="22"/>
              </w:rPr>
              <w:t>: The Council of Europe and Health and Human Rights. In: Health and Human Rights in Europe. B. Toebes, M. Hartlev, A. Hendriks, J. Rothmar Herrmann (eds) Intersentia Publishing Ltd. Cambridge – Antwerp – Portland 2012. 23-51.</w:t>
            </w:r>
          </w:p>
          <w:bookmarkEnd w:id="21"/>
          <w:p w:rsidR="00497A52" w:rsidRPr="00775EB7" w:rsidRDefault="00497A52" w:rsidP="00DE5211">
            <w:pPr>
              <w:pStyle w:val="Default"/>
              <w:jc w:val="both"/>
              <w:rPr>
                <w:rFonts w:ascii="Garamond" w:hAnsi="Garamond"/>
                <w:sz w:val="22"/>
                <w:szCs w:val="22"/>
              </w:rPr>
            </w:pP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tabs>
                <w:tab w:val="left" w:pos="2080"/>
              </w:tabs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lastRenderedPageBreak/>
              <w:t>Ajánlott irodalom</w:t>
            </w:r>
          </w:p>
          <w:p w:rsidR="00497A52" w:rsidRPr="00775EB7" w:rsidRDefault="00497A52" w:rsidP="00DE5211">
            <w:pPr>
              <w:tabs>
                <w:tab w:val="left" w:pos="2080"/>
              </w:tabs>
              <w:rPr>
                <w:rFonts w:ascii="Garamond" w:hAnsi="Garamond"/>
                <w:b/>
                <w:sz w:val="22"/>
                <w:szCs w:val="22"/>
              </w:rPr>
            </w:pPr>
          </w:p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magyar nyelvű: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1.</w:t>
            </w:r>
            <w:r w:rsidRPr="00775EB7">
              <w:rPr>
                <w:rFonts w:ascii="Garamond" w:eastAsia="Times New Roman" w:hAnsi="Garamond"/>
                <w:bCs/>
                <w:color w:val="000000"/>
                <w:sz w:val="22"/>
                <w:szCs w:val="22"/>
              </w:rPr>
              <w:t xml:space="preserve"> BARZO Tímea: PRAXISJOG. Aktuális kérdések az egészségügyi alapellátásban. Medicina Kiadó 2007. (22 A/5 ív) 352 p.</w:t>
            </w:r>
          </w:p>
          <w:p w:rsidR="00497A52" w:rsidRPr="00775EB7" w:rsidRDefault="00497A52" w:rsidP="00DE5211">
            <w:pPr>
              <w:tabs>
                <w:tab w:val="center" w:pos="4498"/>
              </w:tabs>
              <w:ind w:left="142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DÓSA Ágnes: Összehasonlító egészségügyi jog. Complex Kiadó Budapest, 2012.</w:t>
            </w:r>
            <w:r w:rsidRPr="00775EB7">
              <w:rPr>
                <w:rFonts w:ascii="Garamond" w:hAnsi="Garamond"/>
                <w:sz w:val="22"/>
                <w:szCs w:val="22"/>
              </w:rPr>
              <w:t>Miskolc, 2015. február 4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</w:t>
            </w: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Dósa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 xml:space="preserve"> Ágnes – </w:t>
            </w:r>
            <w:r w:rsidRPr="00775EB7">
              <w:rPr>
                <w:rFonts w:ascii="Garamond" w:eastAsia="Times New Roman" w:hAnsi="Garamond"/>
                <w:smallCaps/>
                <w:sz w:val="22"/>
                <w:szCs w:val="22"/>
              </w:rPr>
              <w:t>Kovácsy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 xml:space="preserve"> Zsombor (Szerk.): A vállalkozó orvosok nagy kézikönyve. Complex Kiadó Jogi és Üzleti Tartalomszolgáltató Kft. Budapest 2011.</w:t>
            </w:r>
          </w:p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</w:p>
          <w:p w:rsidR="00497A52" w:rsidRPr="00775EB7" w:rsidRDefault="00497A52" w:rsidP="00DE5211">
            <w:pPr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>idegen nyelvű: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eastAsia="Times New Roman" w:hAnsi="Garamond"/>
                <w:sz w:val="22"/>
                <w:szCs w:val="22"/>
              </w:rPr>
            </w:pPr>
            <w:bookmarkStart w:id="22" w:name="OLE_LINK51"/>
            <w:bookmarkStart w:id="23" w:name="OLE_LINK52"/>
            <w:r w:rsidRPr="00775EB7">
              <w:rPr>
                <w:rFonts w:ascii="Garamond" w:hAnsi="Garamond"/>
                <w:sz w:val="22"/>
                <w:szCs w:val="22"/>
              </w:rPr>
              <w:t xml:space="preserve">1. H.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Rogers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: Medical Liabilty in England. In: 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>Medical Liability in Europe. A Comparison of Selected Jurisdictions. Bernard A Koch (ed) In: Tort and Insurance Law Vol 29 Boston, De Gruyter 2011. 165-204.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2. P.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Frati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, M.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 xml:space="preserve">Gulino: </w:t>
            </w:r>
            <w:r w:rsidRPr="00775EB7">
              <w:rPr>
                <w:rFonts w:ascii="Garamond" w:hAnsi="Garamond"/>
                <w:sz w:val="22"/>
                <w:szCs w:val="22"/>
              </w:rPr>
              <w:t>European Legislative and Juridical Overview. In:</w:t>
            </w:r>
            <w:r w:rsidRPr="00775EB7">
              <w:rPr>
                <w:rFonts w:ascii="Garamond" w:eastAsia="Times New Roman" w:hAnsi="Garamond"/>
                <w:sz w:val="22"/>
                <w:szCs w:val="22"/>
              </w:rPr>
              <w:t xml:space="preserve"> Malpractice and Medical Liability European State of the Art and Guidelines. Santo Davide Ferrara (ed) Rafael Boscolo-Berto – Guido Viel (Co-ed) Springer – Verlag Berlin Heidelberg 2013</w:t>
            </w:r>
            <w:r w:rsidRPr="00775EB7">
              <w:rPr>
                <w:rFonts w:ascii="Garamond" w:hAnsi="Garamond"/>
                <w:sz w:val="22"/>
                <w:szCs w:val="22"/>
              </w:rPr>
              <w:t xml:space="preserve">. 69-93. </w:t>
            </w:r>
          </w:p>
          <w:p w:rsidR="00497A52" w:rsidRPr="00775EB7" w:rsidRDefault="00497A52" w:rsidP="00DE5211">
            <w:pPr>
              <w:ind w:left="142"/>
              <w:jc w:val="both"/>
              <w:rPr>
                <w:rFonts w:ascii="Garamond" w:hAnsi="Garamond"/>
                <w:sz w:val="22"/>
                <w:szCs w:val="22"/>
              </w:rPr>
            </w:pPr>
            <w:r w:rsidRPr="00775EB7">
              <w:rPr>
                <w:rFonts w:ascii="Garamond" w:hAnsi="Garamond"/>
                <w:sz w:val="22"/>
                <w:szCs w:val="22"/>
              </w:rPr>
              <w:t xml:space="preserve">3. M. </w:t>
            </w:r>
            <w:r w:rsidRPr="00775EB7">
              <w:rPr>
                <w:rFonts w:ascii="Garamond" w:hAnsi="Garamond"/>
                <w:smallCaps/>
                <w:sz w:val="22"/>
                <w:szCs w:val="22"/>
              </w:rPr>
              <w:t>Hartlev</w:t>
            </w:r>
            <w:r w:rsidRPr="00775EB7">
              <w:rPr>
                <w:rFonts w:ascii="Garamond" w:hAnsi="Garamond"/>
                <w:sz w:val="22"/>
                <w:szCs w:val="22"/>
              </w:rPr>
              <w:t>: Patients’ Rights. In: Health and Human Rights in Europe. B. Toebes, M. Hartlev, A. Hendriks, J. Rothmar Herrmann (eds) Intersentia Publishing Ltd. Cambridge – Antwerp – Portland 2012. 111-145.</w:t>
            </w:r>
          </w:p>
          <w:bookmarkEnd w:id="22"/>
          <w:bookmarkEnd w:id="23"/>
          <w:p w:rsidR="00497A52" w:rsidRPr="00775EB7" w:rsidRDefault="00497A52" w:rsidP="00DE5211">
            <w:pPr>
              <w:shd w:val="clear" w:color="auto" w:fill="FFFFFF"/>
              <w:rPr>
                <w:rFonts w:ascii="Garamond" w:hAnsi="Garamond"/>
                <w:sz w:val="22"/>
                <w:szCs w:val="22"/>
              </w:rPr>
            </w:pPr>
          </w:p>
        </w:tc>
      </w:tr>
      <w:tr w:rsidR="00497A52" w:rsidRPr="00775EB7" w:rsidTr="00DE5211">
        <w:tc>
          <w:tcPr>
            <w:tcW w:w="9212" w:type="dxa"/>
            <w:gridSpan w:val="2"/>
          </w:tcPr>
          <w:p w:rsidR="00497A52" w:rsidRPr="00775EB7" w:rsidRDefault="00497A52" w:rsidP="00DE5211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775EB7">
              <w:rPr>
                <w:rFonts w:ascii="Garamond" w:hAnsi="Garamond"/>
                <w:b/>
                <w:sz w:val="22"/>
                <w:szCs w:val="22"/>
              </w:rPr>
              <w:t>További szakirodalom</w:t>
            </w:r>
          </w:p>
        </w:tc>
      </w:tr>
    </w:tbl>
    <w:p w:rsidR="00D32926" w:rsidRDefault="00497A52">
      <w:bookmarkStart w:id="24" w:name="_GoBack"/>
      <w:bookmarkEnd w:id="24"/>
    </w:p>
    <w:sectPr w:rsidR="00D32926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856FAB"/>
    <w:multiLevelType w:val="hybridMultilevel"/>
    <w:tmpl w:val="F40E8138"/>
    <w:lvl w:ilvl="0" w:tplc="040E000F">
      <w:start w:val="1"/>
      <w:numFmt w:val="decimal"/>
      <w:lvlText w:val="%1."/>
      <w:lvlJc w:val="left"/>
      <w:pPr>
        <w:ind w:left="502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A52"/>
    <w:rsid w:val="00497A52"/>
    <w:rsid w:val="00622808"/>
    <w:rsid w:val="00C3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6B8122"/>
  <w14:defaultImageDpi w14:val="32767"/>
  <w15:chartTrackingRefBased/>
  <w15:docId w15:val="{667F96D3-3BF1-5D41-A3C4-509C53E79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497A52"/>
    <w:rPr>
      <w:rFonts w:eastAsia="Calibri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497A52"/>
    <w:pPr>
      <w:autoSpaceDE w:val="0"/>
      <w:autoSpaceDN w:val="0"/>
      <w:adjustRightInd w:val="0"/>
    </w:pPr>
    <w:rPr>
      <w:rFonts w:eastAsia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661</Words>
  <Characters>4562</Characters>
  <Application>Microsoft Office Word</Application>
  <DocSecurity>0</DocSecurity>
  <Lines>38</Lines>
  <Paragraphs>10</Paragraphs>
  <ScaleCrop>false</ScaleCrop>
  <Company/>
  <LinksUpToDate>false</LinksUpToDate>
  <CharactersWithSpaces>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Office-felhasználó</dc:creator>
  <cp:keywords/>
  <dc:description/>
  <cp:lastModifiedBy>Microsoft Office-felhasználó</cp:lastModifiedBy>
  <cp:revision>1</cp:revision>
  <dcterms:created xsi:type="dcterms:W3CDTF">2024-09-05T09:36:00Z</dcterms:created>
  <dcterms:modified xsi:type="dcterms:W3CDTF">2024-09-05T09:36:00Z</dcterms:modified>
</cp:coreProperties>
</file>